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9F5A" w14:textId="77777777" w:rsidR="00E5769A" w:rsidRPr="00E5769A" w:rsidRDefault="00E5769A" w:rsidP="00E5769A">
      <w:pPr>
        <w:shd w:val="clear" w:color="auto" w:fill="FFFFFF"/>
        <w:jc w:val="center"/>
        <w:rPr>
          <w:rFonts w:ascii="Tahoma" w:eastAsia="Times New Roman" w:hAnsi="Tahoma" w:cs="Tahoma"/>
          <w:b/>
          <w:color w:val="212121"/>
          <w:sz w:val="23"/>
          <w:szCs w:val="23"/>
        </w:rPr>
      </w:pPr>
      <w:r w:rsidRPr="00E5769A">
        <w:rPr>
          <w:rFonts w:ascii="Tahoma" w:eastAsia="Times New Roman" w:hAnsi="Tahoma" w:cs="Tahoma"/>
          <w:b/>
          <w:color w:val="212121"/>
          <w:sz w:val="23"/>
          <w:szCs w:val="23"/>
        </w:rPr>
        <w:t xml:space="preserve">Getting to know </w:t>
      </w:r>
      <w:proofErr w:type="spellStart"/>
      <w:r w:rsidRPr="00E5769A">
        <w:rPr>
          <w:rFonts w:ascii="Tahoma" w:eastAsia="Times New Roman" w:hAnsi="Tahoma" w:cs="Tahoma"/>
          <w:b/>
          <w:color w:val="212121"/>
          <w:sz w:val="23"/>
          <w:szCs w:val="23"/>
        </w:rPr>
        <w:t>Primigenia</w:t>
      </w:r>
      <w:proofErr w:type="spellEnd"/>
    </w:p>
    <w:p w14:paraId="37421916" w14:textId="77777777" w:rsidR="00E5769A" w:rsidRDefault="00E5769A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7DC92F37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>CIL 4 10241   (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Sepulcrum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#22)</w:t>
      </w:r>
    </w:p>
    <w:p w14:paraId="2A254319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728BE222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Primigeniae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/ </w:t>
      </w:r>
      <w:proofErr w:type="spellStart"/>
      <w:proofErr w:type="gram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Nucer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(</w:t>
      </w:r>
      <w:proofErr w:type="spellStart"/>
      <w:proofErr w:type="gram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inae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)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sal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(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utem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). /</w:t>
      </w:r>
    </w:p>
    <w:p w14:paraId="7B6F1A33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Vellem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essem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gemma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(</w:t>
      </w:r>
      <w:proofErr w:type="gram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h)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ora</w:t>
      </w:r>
      <w:proofErr w:type="spellEnd"/>
      <w:proofErr w:type="gram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(m?) non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amplius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una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(m?), /</w:t>
      </w:r>
    </w:p>
    <w:p w14:paraId="704D0D70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Ut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tibi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signanti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oscula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missa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darem</w:t>
      </w:r>
      <w:proofErr w:type="spellEnd"/>
    </w:p>
    <w:p w14:paraId="570965B7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1E900A34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We like this graffito because it provides access </w:t>
      </w:r>
      <w:bookmarkStart w:id="0" w:name="_GoBack"/>
      <w:bookmarkEnd w:id="0"/>
      <w:r w:rsidRPr="007C73DB">
        <w:rPr>
          <w:rFonts w:ascii="Tahoma" w:eastAsia="Times New Roman" w:hAnsi="Tahoma" w:cs="Tahoma"/>
          <w:color w:val="212121"/>
          <w:sz w:val="23"/>
          <w:szCs w:val="23"/>
        </w:rPr>
        <w:t>to a lot of interesting potential class discussions</w:t>
      </w:r>
    </w:p>
    <w:p w14:paraId="16E435E0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proofErr w:type="gram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and</w:t>
      </w:r>
      <w:proofErr w:type="gram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connections to multiple other relevant graffiti. Some examples are listed below:</w:t>
      </w:r>
    </w:p>
    <w:p w14:paraId="4BF382B4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57EA134C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>Written in Pompeii to someone referred to as ‘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Nucerian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’, the inscription raises interesting questions about travel in the Roman world (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Nuceria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is one of the closest towns to Pompeii in the region). The poem also references signet rings in the author’s metaphorical wish, offering a convenient avenue for the teacher to address the significance of the signet ring in Roman social, political, and business culture as both a tool and marker of social status. The poem has heavy echoes of a line from Ovid’s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Ars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Armatoria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III 223 (and we see similar riffs on this line in other graffiti in Pompeii). These graffiti could be introduced to students together as a way of prompting a conversation about the degree and type of readership of Ovid’s poems and the impact/value they may have held for the contemporary Roman. Finally, this poem could be linked with other graffiti from </w:t>
      </w:r>
      <w:proofErr w:type="gram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Pompeii which</w:t>
      </w:r>
      <w:proofErr w:type="gram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makes reference to the name “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Primagenia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” (with at least one sharing the same connection of location (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Nuceria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>). The teacher could share multiple of these graffiti with students and promote a discussion revolving around how these different graffiti might tell a story about this ancient Roman woman, and about whether we should or should not imagine them as all referring to the same person.</w:t>
      </w:r>
    </w:p>
    <w:p w14:paraId="49F337A1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12AA0058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Regardless of which aspect of the graffito a teacher discuss with his or her class there are many ancillary project possibilities. Students could compose an historical fiction account of the relationship between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Primigenia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and her lover in Latin or write a comparable graffito in English (referencing a well-known modern piece of literature or lyric). Students could also design their own signet ring or even plot out a potential journey from Pompeii to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Nuceria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using ORBIS (</w:t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fldChar w:fldCharType="begin"/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instrText xml:space="preserve"> HYPERLINK "http://orbis.stanford.edu/" \t "_blank" </w:instrText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fldChar w:fldCharType="separate"/>
      </w:r>
      <w:r w:rsidRPr="007C73DB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http://orbis.stanford.edu/</w:t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fldChar w:fldCharType="end"/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t>).</w:t>
      </w:r>
    </w:p>
    <w:p w14:paraId="1EDBF62E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777FFDC0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Related</w:t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graffiti:</w:t>
      </w:r>
    </w:p>
    <w:p w14:paraId="0436B40D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41A60F98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CIL 04, </w:t>
      </w: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8356: 2nd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Nucerian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Primigenia</w:t>
      </w:r>
      <w:proofErr w:type="spellEnd"/>
    </w:p>
    <w:p w14:paraId="1AB10EE4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1594FE0C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10676: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Hemeros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to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Primigenia</w:t>
      </w:r>
      <w:proofErr w:type="spellEnd"/>
    </w:p>
    <w:p w14:paraId="0FE2D533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0C19B9E8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8769: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Pittiacus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cum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Primagenia</w:t>
      </w:r>
      <w:proofErr w:type="spellEnd"/>
    </w:p>
    <w:p w14:paraId="51FDAB7C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0BA8825A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8770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Primagenia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cum Prima</w:t>
      </w:r>
    </w:p>
    <w:p w14:paraId="5A9D630D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2EDD7F1" w14:textId="77777777" w:rsidR="007C73DB" w:rsidRPr="007C73DB" w:rsidRDefault="007C73DB" w:rsidP="007C73DB">
      <w:pPr>
        <w:shd w:val="clear" w:color="auto" w:fill="FFFFFF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7464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Primagenia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election poster</w:t>
      </w:r>
    </w:p>
    <w:p w14:paraId="598219CE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F24EB32" w14:textId="77777777" w:rsidR="007C73DB" w:rsidRPr="007C73DB" w:rsidRDefault="007C73DB" w:rsidP="007C73DB">
      <w:pPr>
        <w:shd w:val="clear" w:color="auto" w:fill="FFFFFF"/>
        <w:ind w:firstLine="720"/>
        <w:rPr>
          <w:rFonts w:ascii="Tahoma" w:eastAsia="Times New Roman" w:hAnsi="Tahoma" w:cs="Tahoma"/>
          <w:color w:val="212121"/>
          <w:sz w:val="23"/>
          <w:szCs w:val="23"/>
        </w:rPr>
      </w:pPr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3905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Hirtia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Suae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Primageniae</w:t>
      </w:r>
      <w:proofErr w:type="spellEnd"/>
    </w:p>
    <w:p w14:paraId="765FC490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5304BBA0" w14:textId="77777777" w:rsidR="007C73DB" w:rsidRPr="007C73DB" w:rsidRDefault="007C73DB" w:rsidP="007C73D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Regio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I 01698 Pompeii:  </w:t>
      </w:r>
      <w:proofErr w:type="gram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Gemma(</w:t>
      </w:r>
      <w:proofErr w:type="gram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m)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velim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fieri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7C73DB">
        <w:rPr>
          <w:rFonts w:ascii="Tahoma" w:eastAsia="Times New Roman" w:hAnsi="Tahoma" w:cs="Tahoma"/>
          <w:color w:val="212121"/>
          <w:sz w:val="23"/>
          <w:szCs w:val="23"/>
        </w:rPr>
        <w:t>hora</w:t>
      </w:r>
      <w:proofErr w:type="spellEnd"/>
      <w:r w:rsidRPr="007C73DB">
        <w:rPr>
          <w:rFonts w:ascii="Tahoma" w:eastAsia="Times New Roman" w:hAnsi="Tahoma" w:cs="Tahoma"/>
          <w:color w:val="212121"/>
          <w:sz w:val="23"/>
          <w:szCs w:val="23"/>
        </w:rPr>
        <w:t xml:space="preserve"> non(a)</w:t>
      </w:r>
    </w:p>
    <w:p w14:paraId="779ED7F1" w14:textId="77777777" w:rsidR="00AF6DCE" w:rsidRDefault="00AF6DCE"/>
    <w:sectPr w:rsidR="00AF6DCE" w:rsidSect="00B925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B"/>
    <w:rsid w:val="007C73DB"/>
    <w:rsid w:val="00AF6DCE"/>
    <w:rsid w:val="00B925A8"/>
    <w:rsid w:val="00E5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8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Benefiel</dc:creator>
  <cp:keywords/>
  <dc:description/>
  <cp:lastModifiedBy>Rebecca Benefiel</cp:lastModifiedBy>
  <cp:revision>2</cp:revision>
  <dcterms:created xsi:type="dcterms:W3CDTF">2018-07-26T13:01:00Z</dcterms:created>
  <dcterms:modified xsi:type="dcterms:W3CDTF">2018-07-26T13:06:00Z</dcterms:modified>
</cp:coreProperties>
</file>